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74" w:rsidRDefault="00484974">
      <w:pPr>
        <w:pStyle w:val="Heading3"/>
      </w:pPr>
    </w:p>
    <w:p w:rsidR="00990CBF" w:rsidRDefault="00194A76">
      <w:pPr>
        <w:pStyle w:val="Heading3"/>
      </w:pPr>
      <w:r>
        <w:t>Current Activities</w:t>
      </w:r>
    </w:p>
    <w:p w:rsidR="000B34DB" w:rsidRDefault="000B34DB" w:rsidP="008B6230"/>
    <w:p w:rsidR="002A2361" w:rsidRDefault="00902A86" w:rsidP="008B6230">
      <w:r>
        <w:t>Hursley site remains closed, apart from a small number of essential staff, so we have not been able to gain access to the museum since early March. It seems unlikely the situation will change this year.</w:t>
      </w:r>
    </w:p>
    <w:p w:rsidR="00902A86" w:rsidRDefault="00902A86" w:rsidP="008B6230"/>
    <w:p w:rsidR="00902A86" w:rsidRDefault="00902A86" w:rsidP="008B6230">
      <w:r>
        <w:t xml:space="preserve">This has not meant that work has dried </w:t>
      </w:r>
      <w:r w:rsidR="00FE700E">
        <w:t>up;</w:t>
      </w:r>
      <w:r>
        <w:t xml:space="preserve"> indeed there ha</w:t>
      </w:r>
      <w:r w:rsidR="00FE700E">
        <w:t>ve</w:t>
      </w:r>
      <w:r>
        <w:t xml:space="preserve"> been a lot more activities from home. We have had quite a few donations delivered to home addresses and subsequently dropped off at Hursley with a ‘permitted’ member of staff taking them inside. That has also allowed us to retrieve items </w:t>
      </w:r>
      <w:r w:rsidR="00FE700E">
        <w:t>so we can</w:t>
      </w:r>
      <w:r>
        <w:t xml:space="preserve"> carry on with off-site activities. We’ve also introduced curator Zoom meetings every couple of weeks.</w:t>
      </w:r>
      <w:r w:rsidR="00301871">
        <w:t xml:space="preserve"> Here are some of the highlights since May:</w:t>
      </w:r>
    </w:p>
    <w:p w:rsidR="00301871" w:rsidRDefault="00301871" w:rsidP="002843A5"/>
    <w:p w:rsidR="000F5764" w:rsidRDefault="000F5764" w:rsidP="00301871">
      <w:pPr>
        <w:pStyle w:val="ListParagraph"/>
        <w:numPr>
          <w:ilvl w:val="0"/>
          <w:numId w:val="1"/>
        </w:numPr>
      </w:pPr>
      <w:r>
        <w:t>Peter Short has joined the IBM Austria retiree club. Eligibility comes from 2.1/2 years working on assignment as a Customer Engineer in Salzburg in the early 70s. This allowed a country-wide appeal for donations, with several ex-CEs sending amongst other things:</w:t>
      </w:r>
    </w:p>
    <w:p w:rsidR="000F5764" w:rsidRDefault="000F5764" w:rsidP="000F5764">
      <w:pPr>
        <w:pStyle w:val="ListParagraph"/>
        <w:numPr>
          <w:ilvl w:val="1"/>
          <w:numId w:val="1"/>
        </w:numPr>
      </w:pPr>
      <w:r>
        <w:t xml:space="preserve">A fishing tackle box full of spare parts mainly for card punch and unit record machines, all </w:t>
      </w:r>
      <w:r w:rsidR="00DC36A6">
        <w:t xml:space="preserve">now </w:t>
      </w:r>
      <w:r>
        <w:t>catalogued on the website from home</w:t>
      </w:r>
    </w:p>
    <w:p w:rsidR="000F5764" w:rsidRDefault="000F5764" w:rsidP="000F5764">
      <w:pPr>
        <w:pStyle w:val="ListParagraph"/>
        <w:numPr>
          <w:ilvl w:val="1"/>
          <w:numId w:val="1"/>
        </w:numPr>
      </w:pPr>
      <w:r>
        <w:t>Daisy wheel typewriter, DOA but repaired by replacing power supply capacitors</w:t>
      </w:r>
    </w:p>
    <w:p w:rsidR="000F5764" w:rsidRDefault="000F5764" w:rsidP="000F5764">
      <w:pPr>
        <w:pStyle w:val="ListParagraph"/>
        <w:numPr>
          <w:ilvl w:val="1"/>
          <w:numId w:val="1"/>
        </w:numPr>
      </w:pPr>
      <w:r>
        <w:t>Selectric typewriter</w:t>
      </w:r>
    </w:p>
    <w:p w:rsidR="00E85B5C" w:rsidRDefault="000F5764" w:rsidP="00E85B5C">
      <w:pPr>
        <w:pStyle w:val="ListParagraph"/>
        <w:numPr>
          <w:ilvl w:val="1"/>
          <w:numId w:val="1"/>
        </w:numPr>
      </w:pPr>
      <w:r>
        <w:t>3277 keyboard and other miscellaneous parts</w:t>
      </w:r>
    </w:p>
    <w:p w:rsidR="000F5764" w:rsidRDefault="00E85B5C" w:rsidP="00E85B5C">
      <w:pPr>
        <w:pStyle w:val="ListParagraph"/>
        <w:numPr>
          <w:ilvl w:val="0"/>
          <w:numId w:val="1"/>
        </w:numPr>
      </w:pPr>
      <w:r>
        <w:br/>
      </w:r>
      <w:r>
        <w:rPr>
          <w:noProof/>
          <w:lang w:eastAsia="en-GB"/>
        </w:rPr>
        <w:drawing>
          <wp:inline distT="0" distB="0" distL="0" distR="0">
            <wp:extent cx="2708100" cy="2027207"/>
            <wp:effectExtent l="19050" t="0" r="0" b="0"/>
            <wp:docPr id="2" name="Picture 1" descr="ce0297_1_m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0297_1_med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833" cy="202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>
            <wp:extent cx="2698271" cy="2019849"/>
            <wp:effectExtent l="19050" t="0" r="6829" b="0"/>
            <wp:docPr id="3" name="Picture 2" descr="2020-06-19 11.25.37_m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6-19 11.25.37_med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316" cy="2022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CE Parts Box</w:t>
      </w:r>
      <w:r>
        <w:tab/>
      </w:r>
      <w:r>
        <w:tab/>
      </w:r>
      <w:r>
        <w:tab/>
      </w:r>
      <w:r>
        <w:tab/>
      </w:r>
      <w:r>
        <w:tab/>
        <w:t xml:space="preserve">  6715 Daisy Wheel Typewriter </w:t>
      </w:r>
      <w:r>
        <w:br/>
      </w:r>
    </w:p>
    <w:p w:rsidR="000B34DB" w:rsidRDefault="00DC36A6" w:rsidP="000F5764">
      <w:pPr>
        <w:pStyle w:val="ListParagraph"/>
        <w:numPr>
          <w:ilvl w:val="0"/>
          <w:numId w:val="1"/>
        </w:numPr>
      </w:pPr>
      <w:r>
        <w:t>Another attempt by the donor to get the 129 card punch / verifier across from the Netherlands failed, the trip cancelled</w:t>
      </w:r>
      <w:r w:rsidR="001F1E52">
        <w:t xml:space="preserve"> at the last minute </w:t>
      </w:r>
      <w:r>
        <w:t>due to the virus restrictions.</w:t>
      </w:r>
    </w:p>
    <w:p w:rsidR="000B34DB" w:rsidRDefault="000B34DB" w:rsidP="000F5764">
      <w:pPr>
        <w:pStyle w:val="ListParagraph"/>
        <w:numPr>
          <w:ilvl w:val="0"/>
          <w:numId w:val="1"/>
        </w:numPr>
      </w:pPr>
      <w:r>
        <w:t xml:space="preserve">We have been promised a CE tool that none of us can identify. It consists of a small carry case containing a cassette recorder and a couple of logic cards. </w:t>
      </w:r>
    </w:p>
    <w:p w:rsidR="00B332A7" w:rsidRDefault="000B34DB" w:rsidP="000F5764">
      <w:pPr>
        <w:pStyle w:val="ListParagraph"/>
        <w:numPr>
          <w:ilvl w:val="0"/>
          <w:numId w:val="1"/>
        </w:numPr>
      </w:pPr>
      <w:r>
        <w:t xml:space="preserve">With </w:t>
      </w:r>
      <w:r w:rsidR="001F1E52">
        <w:t>Hursley</w:t>
      </w:r>
      <w:r>
        <w:t xml:space="preserve"> closed, a small team has been doing essential </w:t>
      </w:r>
      <w:r w:rsidR="001F1E52">
        <w:t xml:space="preserve">site </w:t>
      </w:r>
      <w:r>
        <w:t>maintenance. They have discovered a signal generator and power supplies that we believe are from a hardware test cell, perhaps used during drop testing. These are being retrieved to the museum for us.</w:t>
      </w:r>
    </w:p>
    <w:p w:rsidR="00B332A7" w:rsidRDefault="00B332A7" w:rsidP="00B332A7">
      <w:pPr>
        <w:pStyle w:val="ListParagraph"/>
        <w:numPr>
          <w:ilvl w:val="0"/>
          <w:numId w:val="1"/>
        </w:numPr>
      </w:pPr>
      <w:r>
        <w:t>Many other donations received or promised</w:t>
      </w:r>
      <w:proofErr w:type="gramStart"/>
      <w:r>
        <w:t>,</w:t>
      </w:r>
      <w:proofErr w:type="gramEnd"/>
      <w:r>
        <w:t xml:space="preserve"> a </w:t>
      </w:r>
      <w:r w:rsidR="00B660BD">
        <w:t>summary</w:t>
      </w:r>
      <w:r>
        <w:t xml:space="preserve"> can be seen on the museum website news page </w:t>
      </w:r>
      <w:hyperlink r:id="rId9" w:history="1">
        <w:r w:rsidRPr="00AA61D0">
          <w:rPr>
            <w:rStyle w:val="Hyperlink"/>
          </w:rPr>
          <w:t>https://slx-online.biz/hursley/news.asp</w:t>
        </w:r>
      </w:hyperlink>
      <w:r>
        <w:t xml:space="preserve"> . </w:t>
      </w:r>
      <w:r>
        <w:br/>
      </w:r>
      <w:r>
        <w:br/>
      </w:r>
    </w:p>
    <w:p w:rsidR="00E85B5C" w:rsidRDefault="00807DBE" w:rsidP="00B332A7">
      <w:pPr>
        <w:ind w:left="360"/>
      </w:pPr>
      <w:r>
        <w:lastRenderedPageBreak/>
        <w:br/>
      </w:r>
      <w:r w:rsidR="00E82F2A">
        <w:br/>
      </w:r>
      <w:r w:rsidR="00E82F2A">
        <w:br/>
      </w:r>
      <w:r>
        <w:rPr>
          <w:noProof/>
          <w:lang w:eastAsia="en-GB"/>
        </w:rPr>
        <w:drawing>
          <wp:inline distT="0" distB="0" distL="0" distR="0">
            <wp:extent cx="2581340" cy="1932317"/>
            <wp:effectExtent l="19050" t="0" r="9460" b="0"/>
            <wp:docPr id="1" name="Picture 0" descr="Case contents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e contents_m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945" cy="193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>
            <wp:extent cx="2534369" cy="1687166"/>
            <wp:effectExtent l="19050" t="0" r="0" b="0"/>
            <wp:docPr id="4" name="Picture 3" descr="011-129_Card_Data_Recorder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-129_Card_Data_Recorder_med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039" cy="168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365">
        <w:t xml:space="preserve"> </w:t>
      </w:r>
      <w:r w:rsidR="00B73365">
        <w:br/>
      </w:r>
      <w:r w:rsidR="003514A5">
        <w:t>Unidentified CE Tool</w:t>
      </w:r>
      <w:r w:rsidR="003514A5">
        <w:tab/>
      </w:r>
      <w:r w:rsidR="003514A5">
        <w:tab/>
      </w:r>
      <w:r w:rsidR="003514A5">
        <w:tab/>
      </w:r>
      <w:r w:rsidR="003514A5">
        <w:tab/>
        <w:t>129 Buffered Card Punch / Verifier</w:t>
      </w:r>
      <w:r w:rsidR="003514A5">
        <w:br/>
      </w:r>
    </w:p>
    <w:p w:rsidR="002D4B99" w:rsidRDefault="00E82F2A" w:rsidP="000F5764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606425</wp:posOffset>
            </wp:positionV>
            <wp:extent cx="2499360" cy="3329305"/>
            <wp:effectExtent l="19050" t="0" r="0" b="0"/>
            <wp:wrapSquare wrapText="bothSides"/>
            <wp:docPr id="5" name="Picture 4" descr="Clock Hub big V4.44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k Hub big V4.44_me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B99">
        <w:t>For some time we have been thinking about how best to enhance our displays. The consensus is to produce large panels to stand behind</w:t>
      </w:r>
      <w:r w:rsidR="00807DBE">
        <w:t>, above</w:t>
      </w:r>
      <w:r w:rsidR="002D4B99">
        <w:t xml:space="preserve"> or to the side of artefact</w:t>
      </w:r>
      <w:r w:rsidR="00121F7F">
        <w:t>s</w:t>
      </w:r>
      <w:r w:rsidR="009425FB">
        <w:t xml:space="preserve"> where </w:t>
      </w:r>
      <w:r w:rsidR="00D12AB9">
        <w:t>appropriate</w:t>
      </w:r>
      <w:r w:rsidR="002D4B99">
        <w:t>.</w:t>
      </w:r>
      <w:r w:rsidR="00121F7F">
        <w:t xml:space="preserve"> </w:t>
      </w:r>
      <w:r w:rsidR="00B660BD">
        <w:br/>
      </w:r>
      <w:r w:rsidR="00B660BD">
        <w:br/>
      </w:r>
      <w:r w:rsidR="00B660BD">
        <w:br/>
      </w:r>
      <w:r w:rsidR="00121F7F">
        <w:t xml:space="preserve">We have a clock and a calculator on display in a communal area of the </w:t>
      </w:r>
      <w:r w:rsidR="00807DBE">
        <w:t xml:space="preserve">Hursley </w:t>
      </w:r>
      <w:r w:rsidR="00121F7F">
        <w:t>site, so we’re starting there as a ‘proof of concept and process’.</w:t>
      </w:r>
      <w:r w:rsidR="00807DBE">
        <w:t xml:space="preserve"> </w:t>
      </w:r>
      <w:r w:rsidR="00CC5D38">
        <w:br/>
      </w:r>
      <w:r w:rsidR="00CC5D38">
        <w:br/>
      </w:r>
      <w:r w:rsidR="00CC5D38">
        <w:br/>
      </w:r>
      <w:r w:rsidR="00807DBE">
        <w:t>We decided on the ‘upside down roller blind’ approach rather than big panels so they can be easily moved if necessary. Peter S has produced the artwork at 2M x 1.5M for the clock</w:t>
      </w:r>
      <w:r w:rsidR="0063253A">
        <w:t xml:space="preserve"> with the help of fellow curators</w:t>
      </w:r>
      <w:r w:rsidR="00807DBE">
        <w:t>. Lab management is supportive and looking at how we might get this produced and pay for it.</w:t>
      </w:r>
      <w:r>
        <w:t xml:space="preserve"> </w:t>
      </w:r>
      <w:r w:rsidR="00CC5D38">
        <w:br/>
      </w:r>
      <w:r w:rsidR="00CC5D38">
        <w:br/>
      </w:r>
      <w:r w:rsidR="00CC5D38">
        <w:br/>
      </w:r>
      <w:r>
        <w:t>The actual clock will stand in front of the full size image, which is included so the panel can be used elsewhere stand-alone if necessary.</w:t>
      </w:r>
      <w:r w:rsidR="00B7518E">
        <w:br/>
        <w:t xml:space="preserve">  </w:t>
      </w:r>
    </w:p>
    <w:p w:rsidR="00902A86" w:rsidRDefault="00902A86" w:rsidP="008B6230"/>
    <w:p w:rsidR="00B7518E" w:rsidRDefault="00B7518E" w:rsidP="008B6230"/>
    <w:p w:rsidR="007F7613" w:rsidRDefault="007F7613" w:rsidP="00B660BD">
      <w:pPr>
        <w:pStyle w:val="ListParagraph"/>
        <w:numPr>
          <w:ilvl w:val="0"/>
          <w:numId w:val="1"/>
        </w:numPr>
      </w:pPr>
      <w:r w:rsidRPr="00B660BD">
        <w:rPr>
          <w:rStyle w:val="hotkey-layer"/>
          <w:rFonts w:ascii="Arial" w:hAnsi="Arial" w:cs="Arial"/>
          <w:sz w:val="22"/>
          <w:szCs w:val="22"/>
        </w:rPr>
        <w:t xml:space="preserve">Prior to the closedown in March we initiated a small study with Hursley to explore more ways to generate new interest in the museum, increase our own cooperation with the Labs and provide a mutual benefit for the museum and students participating in </w:t>
      </w:r>
      <w:hyperlink r:id="rId13" w:history="1">
        <w:r w:rsidRPr="00EB3D3E">
          <w:rPr>
            <w:rStyle w:val="Hyperlink"/>
            <w:rFonts w:ascii="Arial" w:hAnsi="Arial" w:cs="Arial"/>
            <w:sz w:val="22"/>
            <w:szCs w:val="22"/>
          </w:rPr>
          <w:t>IBM’s Extreme Blue programme</w:t>
        </w:r>
      </w:hyperlink>
      <w:r w:rsidRPr="00B660BD">
        <w:rPr>
          <w:rStyle w:val="hotkey-layer"/>
          <w:rFonts w:ascii="Arial" w:hAnsi="Arial" w:cs="Arial"/>
          <w:sz w:val="22"/>
          <w:szCs w:val="22"/>
        </w:rPr>
        <w:t>.</w:t>
      </w:r>
      <w:r w:rsidRPr="00B660BD">
        <w:rPr>
          <w:rStyle w:val="hotkey-layer"/>
          <w:rFonts w:ascii="Arial" w:hAnsi="Arial" w:cs="Arial"/>
          <w:sz w:val="22"/>
          <w:szCs w:val="22"/>
        </w:rPr>
        <w:br/>
      </w:r>
      <w:r w:rsidRPr="00B660BD">
        <w:rPr>
          <w:rStyle w:val="hotkey-layer"/>
          <w:rFonts w:ascii="Arial" w:hAnsi="Arial" w:cs="Arial"/>
          <w:sz w:val="22"/>
          <w:szCs w:val="22"/>
        </w:rPr>
        <w:br/>
        <w:t xml:space="preserve">One </w:t>
      </w:r>
      <w:r w:rsidR="00F713EA" w:rsidRPr="00B660BD">
        <w:rPr>
          <w:rStyle w:val="hotkey-layer"/>
          <w:rFonts w:ascii="Arial" w:hAnsi="Arial" w:cs="Arial"/>
          <w:sz w:val="22"/>
          <w:szCs w:val="22"/>
        </w:rPr>
        <w:t>possibility is</w:t>
      </w:r>
      <w:r w:rsidRPr="00B660BD">
        <w:rPr>
          <w:rStyle w:val="hotkey-layer"/>
          <w:rFonts w:ascii="Arial" w:hAnsi="Arial" w:cs="Arial"/>
          <w:sz w:val="22"/>
          <w:szCs w:val="22"/>
        </w:rPr>
        <w:t xml:space="preserve"> the development of a tablet application to serve as a museum visitor log with the ability to capture compliments, comments and suggestions. Such an app could also serve as a way for visitors to contact the curators directly when not on site and numerous other benefits. </w:t>
      </w:r>
      <w:r w:rsidRPr="00B660BD">
        <w:rPr>
          <w:rStyle w:val="hotkey-layer"/>
          <w:rFonts w:ascii="Arial" w:hAnsi="Arial" w:cs="Arial"/>
          <w:sz w:val="22"/>
          <w:szCs w:val="22"/>
        </w:rPr>
        <w:br/>
      </w:r>
      <w:r w:rsidRPr="00B660BD">
        <w:rPr>
          <w:rStyle w:val="hotkey-layer"/>
          <w:rFonts w:ascii="Arial" w:hAnsi="Arial" w:cs="Arial"/>
          <w:sz w:val="22"/>
          <w:szCs w:val="22"/>
        </w:rPr>
        <w:br/>
        <w:t xml:space="preserve">The study </w:t>
      </w:r>
      <w:r w:rsidR="00F713EA" w:rsidRPr="00B660BD">
        <w:rPr>
          <w:rStyle w:val="hotkey-layer"/>
          <w:rFonts w:ascii="Arial" w:hAnsi="Arial" w:cs="Arial"/>
          <w:sz w:val="22"/>
          <w:szCs w:val="22"/>
        </w:rPr>
        <w:t>i</w:t>
      </w:r>
      <w:r w:rsidRPr="00B660BD">
        <w:rPr>
          <w:rStyle w:val="hotkey-layer"/>
          <w:rFonts w:ascii="Arial" w:hAnsi="Arial" w:cs="Arial"/>
          <w:sz w:val="22"/>
          <w:szCs w:val="22"/>
        </w:rPr>
        <w:t>s at the requirements gathering stage, which we hope to continue once the site reopens. It will be proposed to IBM’s Extreme Blue coordinators in due course.</w:t>
      </w:r>
    </w:p>
    <w:sectPr w:rsidR="007F7613" w:rsidSect="00990CBF">
      <w:headerReference w:type="default" r:id="rId14"/>
      <w:footerReference w:type="default" r:id="rId15"/>
      <w:pgSz w:w="11906" w:h="16838" w:code="9"/>
      <w:pgMar w:top="1440" w:right="1230" w:bottom="1440" w:left="12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B3" w:rsidRDefault="00EC70B3">
      <w:r>
        <w:separator/>
      </w:r>
    </w:p>
  </w:endnote>
  <w:endnote w:type="continuationSeparator" w:id="0">
    <w:p w:rsidR="00EC70B3" w:rsidRDefault="00EC7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F" w:rsidRDefault="0029010D">
    <w:pPr>
      <w:pStyle w:val="Footer"/>
      <w:jc w:val="center"/>
    </w:pPr>
    <w:r>
      <w:t xml:space="preserve">Web Site: </w:t>
    </w:r>
    <w:hyperlink r:id="rId1" w:history="1">
      <w:r>
        <w:rPr>
          <w:rStyle w:val="Hyperlink"/>
        </w:rPr>
        <w:t>http://hursley.slx-online.biz/</w:t>
      </w:r>
    </w:hyperlink>
  </w:p>
  <w:p w:rsidR="00990CBF" w:rsidRDefault="0029010D">
    <w:pPr>
      <w:pStyle w:val="Footer"/>
      <w:jc w:val="center"/>
    </w:pPr>
    <w:r>
      <w:t xml:space="preserve">IBM Contact: </w:t>
    </w:r>
    <w:hyperlink r:id="rId2" w:history="1">
      <w:r>
        <w:rPr>
          <w:rStyle w:val="Hyperlink"/>
        </w:rPr>
        <w:t>Hursley Communications</w:t>
      </w:r>
    </w:hyperlink>
    <w:r>
      <w:tab/>
      <w:t xml:space="preserve">        Curator Contact: </w:t>
    </w:r>
    <w:hyperlink r:id="rId3" w:history="1">
      <w:r>
        <w:rPr>
          <w:rStyle w:val="Hyperlink"/>
        </w:rPr>
        <w:t>Peter Short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B3" w:rsidRDefault="00EC70B3">
      <w:r>
        <w:separator/>
      </w:r>
    </w:p>
  </w:footnote>
  <w:footnote w:type="continuationSeparator" w:id="0">
    <w:p w:rsidR="00EC70B3" w:rsidRDefault="00EC7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F" w:rsidRDefault="0029010D">
    <w:pPr>
      <w:pStyle w:val="Heading1"/>
    </w:pPr>
    <w:r>
      <w:t xml:space="preserve">Hursley Museum Services – </w:t>
    </w:r>
    <w:r w:rsidR="00EE0DC4">
      <w:t>September</w:t>
    </w:r>
    <w:r w:rsidR="00AF78F1">
      <w:t xml:space="preserve"> 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70549"/>
    <w:multiLevelType w:val="hybridMultilevel"/>
    <w:tmpl w:val="E4981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BA7"/>
    <w:rsid w:val="00023732"/>
    <w:rsid w:val="000269DC"/>
    <w:rsid w:val="00036519"/>
    <w:rsid w:val="00047402"/>
    <w:rsid w:val="00056660"/>
    <w:rsid w:val="0008416B"/>
    <w:rsid w:val="00092440"/>
    <w:rsid w:val="000A3141"/>
    <w:rsid w:val="000A456D"/>
    <w:rsid w:val="000A4839"/>
    <w:rsid w:val="000A6358"/>
    <w:rsid w:val="000B3491"/>
    <w:rsid w:val="000B34DB"/>
    <w:rsid w:val="000C2068"/>
    <w:rsid w:val="000D19F7"/>
    <w:rsid w:val="000D49AC"/>
    <w:rsid w:val="000E4472"/>
    <w:rsid w:val="000E6DA0"/>
    <w:rsid w:val="000F3E1E"/>
    <w:rsid w:val="000F5764"/>
    <w:rsid w:val="0010043D"/>
    <w:rsid w:val="00103766"/>
    <w:rsid w:val="00105BA7"/>
    <w:rsid w:val="00117594"/>
    <w:rsid w:val="001200FB"/>
    <w:rsid w:val="00121F7F"/>
    <w:rsid w:val="001324DD"/>
    <w:rsid w:val="00184B37"/>
    <w:rsid w:val="00194A76"/>
    <w:rsid w:val="001D0091"/>
    <w:rsid w:val="001D5840"/>
    <w:rsid w:val="001E59D0"/>
    <w:rsid w:val="001F1E52"/>
    <w:rsid w:val="001F2A0D"/>
    <w:rsid w:val="002063A2"/>
    <w:rsid w:val="00224DA1"/>
    <w:rsid w:val="00225CE6"/>
    <w:rsid w:val="002342F5"/>
    <w:rsid w:val="002445C2"/>
    <w:rsid w:val="00247F34"/>
    <w:rsid w:val="0026556E"/>
    <w:rsid w:val="00282E0C"/>
    <w:rsid w:val="002843A5"/>
    <w:rsid w:val="0029010D"/>
    <w:rsid w:val="002A2361"/>
    <w:rsid w:val="002D4B99"/>
    <w:rsid w:val="002F56ED"/>
    <w:rsid w:val="002F5E91"/>
    <w:rsid w:val="00301511"/>
    <w:rsid w:val="00301871"/>
    <w:rsid w:val="00314684"/>
    <w:rsid w:val="00330AF4"/>
    <w:rsid w:val="003514A5"/>
    <w:rsid w:val="003515DA"/>
    <w:rsid w:val="003619DC"/>
    <w:rsid w:val="00396382"/>
    <w:rsid w:val="003B287B"/>
    <w:rsid w:val="003B6AD7"/>
    <w:rsid w:val="003C1B8E"/>
    <w:rsid w:val="003C5286"/>
    <w:rsid w:val="003E4D6C"/>
    <w:rsid w:val="00411699"/>
    <w:rsid w:val="00426463"/>
    <w:rsid w:val="004474A6"/>
    <w:rsid w:val="0046298A"/>
    <w:rsid w:val="0047656F"/>
    <w:rsid w:val="00484974"/>
    <w:rsid w:val="00485D18"/>
    <w:rsid w:val="00493D95"/>
    <w:rsid w:val="004B0DA7"/>
    <w:rsid w:val="004C18BB"/>
    <w:rsid w:val="004C7CCB"/>
    <w:rsid w:val="004F6380"/>
    <w:rsid w:val="005226DB"/>
    <w:rsid w:val="0052684E"/>
    <w:rsid w:val="0057516C"/>
    <w:rsid w:val="00584603"/>
    <w:rsid w:val="00593419"/>
    <w:rsid w:val="005A40B1"/>
    <w:rsid w:val="005A55FC"/>
    <w:rsid w:val="005B0D00"/>
    <w:rsid w:val="005C4041"/>
    <w:rsid w:val="005D6495"/>
    <w:rsid w:val="006126BD"/>
    <w:rsid w:val="00627544"/>
    <w:rsid w:val="0063253A"/>
    <w:rsid w:val="0063381A"/>
    <w:rsid w:val="00641AA5"/>
    <w:rsid w:val="00650042"/>
    <w:rsid w:val="006B1C0F"/>
    <w:rsid w:val="006C2413"/>
    <w:rsid w:val="006E3281"/>
    <w:rsid w:val="007479E8"/>
    <w:rsid w:val="00774DEC"/>
    <w:rsid w:val="00776A00"/>
    <w:rsid w:val="00783A52"/>
    <w:rsid w:val="007A1651"/>
    <w:rsid w:val="007B375E"/>
    <w:rsid w:val="007C4425"/>
    <w:rsid w:val="007D2323"/>
    <w:rsid w:val="007E4485"/>
    <w:rsid w:val="007E44EA"/>
    <w:rsid w:val="007E69F7"/>
    <w:rsid w:val="007F760D"/>
    <w:rsid w:val="007F7613"/>
    <w:rsid w:val="00807DBE"/>
    <w:rsid w:val="00861C3A"/>
    <w:rsid w:val="008933CE"/>
    <w:rsid w:val="008B6230"/>
    <w:rsid w:val="008C7E84"/>
    <w:rsid w:val="008D0A77"/>
    <w:rsid w:val="008D1120"/>
    <w:rsid w:val="008D694B"/>
    <w:rsid w:val="008F13BF"/>
    <w:rsid w:val="00900FBA"/>
    <w:rsid w:val="00902A86"/>
    <w:rsid w:val="00925433"/>
    <w:rsid w:val="00925550"/>
    <w:rsid w:val="009425FB"/>
    <w:rsid w:val="00964E64"/>
    <w:rsid w:val="00971DD9"/>
    <w:rsid w:val="009756F7"/>
    <w:rsid w:val="00990CBF"/>
    <w:rsid w:val="00992148"/>
    <w:rsid w:val="009A058E"/>
    <w:rsid w:val="009A7368"/>
    <w:rsid w:val="009B2A2B"/>
    <w:rsid w:val="009C455F"/>
    <w:rsid w:val="009E58BA"/>
    <w:rsid w:val="009E700E"/>
    <w:rsid w:val="009F30ED"/>
    <w:rsid w:val="009F7154"/>
    <w:rsid w:val="00A414EF"/>
    <w:rsid w:val="00A4223F"/>
    <w:rsid w:val="00A448BA"/>
    <w:rsid w:val="00A53BBF"/>
    <w:rsid w:val="00A54747"/>
    <w:rsid w:val="00A559B6"/>
    <w:rsid w:val="00A74201"/>
    <w:rsid w:val="00A91193"/>
    <w:rsid w:val="00A9460B"/>
    <w:rsid w:val="00AB2FF5"/>
    <w:rsid w:val="00AB79AE"/>
    <w:rsid w:val="00AB7D83"/>
    <w:rsid w:val="00AD0E8F"/>
    <w:rsid w:val="00AD264F"/>
    <w:rsid w:val="00AE10C9"/>
    <w:rsid w:val="00AF78F1"/>
    <w:rsid w:val="00B2793B"/>
    <w:rsid w:val="00B30EFE"/>
    <w:rsid w:val="00B332A7"/>
    <w:rsid w:val="00B337DC"/>
    <w:rsid w:val="00B33BEC"/>
    <w:rsid w:val="00B50857"/>
    <w:rsid w:val="00B56B91"/>
    <w:rsid w:val="00B660BD"/>
    <w:rsid w:val="00B73365"/>
    <w:rsid w:val="00B7518E"/>
    <w:rsid w:val="00B80012"/>
    <w:rsid w:val="00B839F7"/>
    <w:rsid w:val="00B84D84"/>
    <w:rsid w:val="00B96D5C"/>
    <w:rsid w:val="00BA18F8"/>
    <w:rsid w:val="00BA1D87"/>
    <w:rsid w:val="00BD049D"/>
    <w:rsid w:val="00BF13D1"/>
    <w:rsid w:val="00BF7924"/>
    <w:rsid w:val="00C02DB3"/>
    <w:rsid w:val="00C05082"/>
    <w:rsid w:val="00C109E7"/>
    <w:rsid w:val="00C12551"/>
    <w:rsid w:val="00C12C33"/>
    <w:rsid w:val="00C3646B"/>
    <w:rsid w:val="00C470FA"/>
    <w:rsid w:val="00C53950"/>
    <w:rsid w:val="00C67A11"/>
    <w:rsid w:val="00C766E0"/>
    <w:rsid w:val="00C96AC6"/>
    <w:rsid w:val="00CA20B0"/>
    <w:rsid w:val="00CC5D38"/>
    <w:rsid w:val="00CC6F59"/>
    <w:rsid w:val="00CE2EDB"/>
    <w:rsid w:val="00CE7A66"/>
    <w:rsid w:val="00D04A63"/>
    <w:rsid w:val="00D0721C"/>
    <w:rsid w:val="00D12AB9"/>
    <w:rsid w:val="00D47707"/>
    <w:rsid w:val="00D578A1"/>
    <w:rsid w:val="00D63C04"/>
    <w:rsid w:val="00D66761"/>
    <w:rsid w:val="00D71102"/>
    <w:rsid w:val="00D71E5E"/>
    <w:rsid w:val="00DA2BD9"/>
    <w:rsid w:val="00DB184B"/>
    <w:rsid w:val="00DC36A6"/>
    <w:rsid w:val="00DD454C"/>
    <w:rsid w:val="00DE5C7B"/>
    <w:rsid w:val="00DF4DEC"/>
    <w:rsid w:val="00E05EB8"/>
    <w:rsid w:val="00E05FBF"/>
    <w:rsid w:val="00E124D8"/>
    <w:rsid w:val="00E363A0"/>
    <w:rsid w:val="00E53487"/>
    <w:rsid w:val="00E63B9C"/>
    <w:rsid w:val="00E63DB4"/>
    <w:rsid w:val="00E82F2A"/>
    <w:rsid w:val="00E85B5C"/>
    <w:rsid w:val="00E9241C"/>
    <w:rsid w:val="00E94660"/>
    <w:rsid w:val="00EB3D3E"/>
    <w:rsid w:val="00EC70B3"/>
    <w:rsid w:val="00ED5826"/>
    <w:rsid w:val="00EE0DC4"/>
    <w:rsid w:val="00EE3D71"/>
    <w:rsid w:val="00F063A5"/>
    <w:rsid w:val="00F07510"/>
    <w:rsid w:val="00F332F6"/>
    <w:rsid w:val="00F62054"/>
    <w:rsid w:val="00F713EA"/>
    <w:rsid w:val="00F80C59"/>
    <w:rsid w:val="00F91CE9"/>
    <w:rsid w:val="00FA082C"/>
    <w:rsid w:val="00FA201B"/>
    <w:rsid w:val="00FB504F"/>
    <w:rsid w:val="00FD09DC"/>
    <w:rsid w:val="00FD2312"/>
    <w:rsid w:val="00FE700E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B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0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0C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0C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C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90CB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990C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90CBF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990CBF"/>
    <w:pPr>
      <w:spacing w:before="100" w:beforeAutospacing="1" w:after="119"/>
    </w:pPr>
    <w:rPr>
      <w:rFonts w:eastAsia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9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01871"/>
    <w:pPr>
      <w:ind w:left="720"/>
      <w:contextualSpacing/>
    </w:pPr>
  </w:style>
  <w:style w:type="character" w:customStyle="1" w:styleId="hotkey-layer">
    <w:name w:val="hotkey-layer"/>
    <w:basedOn w:val="DefaultParagraphFont"/>
    <w:rsid w:val="007F7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bm.com/employment/extremeblu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lx-online.biz/hursley/news.asp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s@slx-online.biz" TargetMode="External"/><Relationship Id="rId2" Type="http://schemas.openxmlformats.org/officeDocument/2006/relationships/hyperlink" Target="mailto:Connex@uk.ibm.com" TargetMode="External"/><Relationship Id="rId1" Type="http://schemas.openxmlformats.org/officeDocument/2006/relationships/hyperlink" Target="http://hursley.slx-online.bi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/>
  <LinksUpToDate>false</LinksUpToDate>
  <CharactersWithSpaces>3718</CharactersWithSpaces>
  <SharedDoc>false</SharedDoc>
  <HLinks>
    <vt:vector size="60" baseType="variant">
      <vt:variant>
        <vt:i4>7274520</vt:i4>
      </vt:variant>
      <vt:variant>
        <vt:i4>6</vt:i4>
      </vt:variant>
      <vt:variant>
        <vt:i4>0</vt:i4>
      </vt:variant>
      <vt:variant>
        <vt:i4>5</vt:i4>
      </vt:variant>
      <vt:variant>
        <vt:lpwstr>mailto:peters@slx-online.biz</vt:lpwstr>
      </vt:variant>
      <vt:variant>
        <vt:lpwstr/>
      </vt:variant>
      <vt:variant>
        <vt:i4>1835133</vt:i4>
      </vt:variant>
      <vt:variant>
        <vt:i4>3</vt:i4>
      </vt:variant>
      <vt:variant>
        <vt:i4>0</vt:i4>
      </vt:variant>
      <vt:variant>
        <vt:i4>5</vt:i4>
      </vt:variant>
      <vt:variant>
        <vt:lpwstr>mailto:uklabscomms@uk.ibm.com</vt:lpwstr>
      </vt:variant>
      <vt:variant>
        <vt:lpwstr/>
      </vt:variant>
      <vt:variant>
        <vt:i4>2752639</vt:i4>
      </vt:variant>
      <vt:variant>
        <vt:i4>0</vt:i4>
      </vt:variant>
      <vt:variant>
        <vt:i4>0</vt:i4>
      </vt:variant>
      <vt:variant>
        <vt:i4>5</vt:i4>
      </vt:variant>
      <vt:variant>
        <vt:lpwstr>http://hursley.slx-online.biz/</vt:lpwstr>
      </vt:variant>
      <vt:variant>
        <vt:lpwstr/>
      </vt:variant>
      <vt:variant>
        <vt:i4>2687066</vt:i4>
      </vt:variant>
      <vt:variant>
        <vt:i4>1585</vt:i4>
      </vt:variant>
      <vt:variant>
        <vt:i4>1025</vt:i4>
      </vt:variant>
      <vt:variant>
        <vt:i4>1</vt:i4>
      </vt:variant>
      <vt:variant>
        <vt:lpwstr>..\..\Oslo\20170518_102747_med.jpg</vt:lpwstr>
      </vt:variant>
      <vt:variant>
        <vt:lpwstr/>
      </vt:variant>
      <vt:variant>
        <vt:i4>5701724</vt:i4>
      </vt:variant>
      <vt:variant>
        <vt:i4>1588</vt:i4>
      </vt:variant>
      <vt:variant>
        <vt:i4>1026</vt:i4>
      </vt:variant>
      <vt:variant>
        <vt:i4>1</vt:i4>
      </vt:variant>
      <vt:variant>
        <vt:lpwstr>..\..\Oslo\2017-06-29 12.12.54_med.jpg</vt:lpwstr>
      </vt:variant>
      <vt:variant>
        <vt:lpwstr/>
      </vt:variant>
      <vt:variant>
        <vt:i4>2555999</vt:i4>
      </vt:variant>
      <vt:variant>
        <vt:i4>1591</vt:i4>
      </vt:variant>
      <vt:variant>
        <vt:i4>1027</vt:i4>
      </vt:variant>
      <vt:variant>
        <vt:i4>1</vt:i4>
      </vt:variant>
      <vt:variant>
        <vt:lpwstr>..\..\Oslo\20170518_102719_med.jpg</vt:lpwstr>
      </vt:variant>
      <vt:variant>
        <vt:lpwstr/>
      </vt:variant>
      <vt:variant>
        <vt:i4>6291580</vt:i4>
      </vt:variant>
      <vt:variant>
        <vt:i4>1594</vt:i4>
      </vt:variant>
      <vt:variant>
        <vt:i4>1028</vt:i4>
      </vt:variant>
      <vt:variant>
        <vt:i4>1</vt:i4>
      </vt:variant>
      <vt:variant>
        <vt:lpwstr>..\..\Oslo\2017-06-29 10.47.05 1_med.jpg</vt:lpwstr>
      </vt:variant>
      <vt:variant>
        <vt:lpwstr/>
      </vt:variant>
      <vt:variant>
        <vt:i4>5439568</vt:i4>
      </vt:variant>
      <vt:variant>
        <vt:i4>1597</vt:i4>
      </vt:variant>
      <vt:variant>
        <vt:i4>1029</vt:i4>
      </vt:variant>
      <vt:variant>
        <vt:i4>1</vt:i4>
      </vt:variant>
      <vt:variant>
        <vt:lpwstr>..\..\Oslo\2017-06-29 11.48.36_med.jpg</vt:lpwstr>
      </vt:variant>
      <vt:variant>
        <vt:lpwstr/>
      </vt:variant>
      <vt:variant>
        <vt:i4>2293854</vt:i4>
      </vt:variant>
      <vt:variant>
        <vt:i4>1600</vt:i4>
      </vt:variant>
      <vt:variant>
        <vt:i4>1030</vt:i4>
      </vt:variant>
      <vt:variant>
        <vt:i4>1</vt:i4>
      </vt:variant>
      <vt:variant>
        <vt:lpwstr>..\..\Oslo\20170518_102903_med.jpg</vt:lpwstr>
      </vt:variant>
      <vt:variant>
        <vt:lpwstr/>
      </vt:variant>
      <vt:variant>
        <vt:i4>2424896</vt:i4>
      </vt:variant>
      <vt:variant>
        <vt:i4>2703</vt:i4>
      </vt:variant>
      <vt:variant>
        <vt:i4>1031</vt:i4>
      </vt:variant>
      <vt:variant>
        <vt:i4>1</vt:i4>
      </vt:variant>
      <vt:variant>
        <vt:lpwstr>..\Photos\New 08-17\IMG_3475_med.jpg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Peter</dc:creator>
  <cp:lastModifiedBy>Peter</cp:lastModifiedBy>
  <cp:revision>23</cp:revision>
  <cp:lastPrinted>2018-03-10T15:40:00Z</cp:lastPrinted>
  <dcterms:created xsi:type="dcterms:W3CDTF">2020-09-08T10:21:00Z</dcterms:created>
  <dcterms:modified xsi:type="dcterms:W3CDTF">2020-09-09T09:57:00Z</dcterms:modified>
</cp:coreProperties>
</file>